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540"/>
        <w:gridCol w:w="6246"/>
      </w:tblGrid>
      <w:tr w:rsidR="00371C39" w:rsidRPr="00371C39" w:rsidTr="00B76818">
        <w:tc>
          <w:tcPr>
            <w:tcW w:w="2888" w:type="pct"/>
          </w:tcPr>
          <w:p w:rsidR="00371C39" w:rsidRPr="00371C39" w:rsidRDefault="00371C39" w:rsidP="00D5383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Оригинальный текст </w:t>
            </w:r>
          </w:p>
        </w:tc>
        <w:tc>
          <w:tcPr>
            <w:tcW w:w="2112" w:type="pct"/>
          </w:tcPr>
          <w:p w:rsidR="00371C39" w:rsidRPr="00371C39" w:rsidRDefault="00FE3C1E" w:rsidP="00371C3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Видеоряд</w:t>
            </w:r>
          </w:p>
        </w:tc>
      </w:tr>
      <w:tr w:rsidR="00D53832" w:rsidRPr="00371C39" w:rsidTr="00B76818">
        <w:tc>
          <w:tcPr>
            <w:tcW w:w="2888" w:type="pct"/>
          </w:tcPr>
          <w:p w:rsidR="00D53832" w:rsidRPr="00371C39" w:rsidRDefault="00D53832" w:rsidP="00D5383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highlight w:val="cyan"/>
                <w:lang w:eastAsia="ru-RU"/>
              </w:rPr>
              <w:t xml:space="preserve">Видео 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highlight w:val="cyan"/>
                <w:lang w:val="en-US" w:eastAsia="ru-RU"/>
              </w:rPr>
              <w:t>N</w:t>
            </w:r>
          </w:p>
        </w:tc>
        <w:tc>
          <w:tcPr>
            <w:tcW w:w="2112" w:type="pct"/>
          </w:tcPr>
          <w:p w:rsidR="00D53832" w:rsidRDefault="00D53832" w:rsidP="00371C3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832" w:rsidRPr="00371C39" w:rsidTr="00B76818">
        <w:tc>
          <w:tcPr>
            <w:tcW w:w="2888" w:type="pct"/>
          </w:tcPr>
          <w:p w:rsidR="00D53832" w:rsidRPr="00D53832" w:rsidRDefault="00D53832" w:rsidP="00D53832">
            <w:pPr>
              <w:spacing w:after="12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D5383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</w:p>
        </w:tc>
        <w:tc>
          <w:tcPr>
            <w:tcW w:w="2112" w:type="pct"/>
          </w:tcPr>
          <w:p w:rsidR="00D53832" w:rsidRPr="00D53832" w:rsidRDefault="00D53832" w:rsidP="00D5383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832">
              <w:rPr>
                <w:rFonts w:ascii="Times New Roman" w:hAnsi="Times New Roman" w:cs="Times New Roman"/>
                <w:sz w:val="24"/>
                <w:szCs w:val="24"/>
              </w:rPr>
              <w:t xml:space="preserve">Текст рекомендуется разбивать на логические единицы по абзацам или группам абзацев и фиксировать их в отдельных строках. </w:t>
            </w:r>
          </w:p>
        </w:tc>
      </w:tr>
      <w:tr w:rsidR="00D53832" w:rsidRPr="00371C39" w:rsidTr="00B76818">
        <w:tc>
          <w:tcPr>
            <w:tcW w:w="2888" w:type="pct"/>
          </w:tcPr>
          <w:p w:rsidR="00D53832" w:rsidRDefault="00D53832" w:rsidP="00D53832">
            <w:pPr>
              <w:spacing w:after="1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екст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83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А1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</w:p>
        </w:tc>
        <w:tc>
          <w:tcPr>
            <w:tcW w:w="2112" w:type="pct"/>
          </w:tcPr>
          <w:p w:rsidR="00D53832" w:rsidRPr="00D53832" w:rsidRDefault="00D53832" w:rsidP="00371C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832">
              <w:rPr>
                <w:rFonts w:ascii="Times New Roman" w:hAnsi="Times New Roman" w:cs="Times New Roman"/>
                <w:sz w:val="24"/>
                <w:szCs w:val="24"/>
              </w:rPr>
              <w:t xml:space="preserve">Если Вам нужно </w:t>
            </w:r>
            <w:proofErr w:type="spellStart"/>
            <w:r w:rsidRPr="00D53832">
              <w:rPr>
                <w:rFonts w:ascii="Times New Roman" w:hAnsi="Times New Roman" w:cs="Times New Roman"/>
                <w:sz w:val="24"/>
                <w:szCs w:val="24"/>
              </w:rPr>
              <w:t>продемонстировать</w:t>
            </w:r>
            <w:proofErr w:type="spellEnd"/>
            <w:r w:rsidRPr="00D53832">
              <w:rPr>
                <w:rFonts w:ascii="Times New Roman" w:hAnsi="Times New Roman" w:cs="Times New Roman"/>
                <w:sz w:val="24"/>
                <w:szCs w:val="24"/>
              </w:rPr>
              <w:t xml:space="preserve"> график, схему, видео или что-то другое, укажите в тексте код </w:t>
            </w:r>
            <w:r w:rsidRPr="00D5383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</w:t>
            </w:r>
            <w:proofErr w:type="gramStart"/>
            <w:r w:rsidRPr="00D5383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proofErr w:type="gramEnd"/>
          </w:p>
          <w:p w:rsidR="00D53832" w:rsidRPr="00D53832" w:rsidRDefault="00D53832" w:rsidP="00371C3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832">
              <w:rPr>
                <w:rFonts w:ascii="Times New Roman" w:hAnsi="Times New Roman" w:cs="Times New Roman"/>
                <w:sz w:val="24"/>
                <w:szCs w:val="24"/>
              </w:rPr>
              <w:t xml:space="preserve">А в этой ячейке укажите, что Вы хотите продемонстрировать, например, Вы можете указать «график со страницы 11 документа </w:t>
            </w:r>
            <w:r w:rsidRPr="00D53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53832">
              <w:rPr>
                <w:rFonts w:ascii="Times New Roman" w:hAnsi="Times New Roman" w:cs="Times New Roman"/>
                <w:sz w:val="24"/>
                <w:szCs w:val="24"/>
              </w:rPr>
              <w:t>» или «Слайд №2 презентации»</w:t>
            </w:r>
          </w:p>
        </w:tc>
      </w:tr>
      <w:tr w:rsidR="00D53832" w:rsidRPr="00371C39" w:rsidTr="00B76818">
        <w:tc>
          <w:tcPr>
            <w:tcW w:w="2888" w:type="pct"/>
          </w:tcPr>
          <w:p w:rsidR="00D53832" w:rsidRDefault="00D53832" w:rsidP="00D53832">
            <w:pPr>
              <w:spacing w:after="12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bookmarkStart w:id="0" w:name="_GoBack"/>
            <w:bookmarkEnd w:id="0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83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Б1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83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Б2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</w:p>
        </w:tc>
        <w:tc>
          <w:tcPr>
            <w:tcW w:w="2112" w:type="pct"/>
          </w:tcPr>
          <w:p w:rsidR="00D53832" w:rsidRPr="00D53832" w:rsidRDefault="00D53832" w:rsidP="00371C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832">
              <w:rPr>
                <w:rFonts w:ascii="Times New Roman" w:hAnsi="Times New Roman" w:cs="Times New Roman"/>
                <w:sz w:val="24"/>
                <w:szCs w:val="24"/>
              </w:rPr>
              <w:t xml:space="preserve">В новой ячейке указывайте новые коды (в примере </w:t>
            </w:r>
            <w:r w:rsidRPr="00D5383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</w:t>
            </w:r>
            <w:proofErr w:type="gramStart"/>
            <w:r w:rsidRPr="00D5383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proofErr w:type="gramEnd"/>
            <w:r w:rsidRPr="00D5383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383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Б2</w:t>
            </w:r>
            <w:r w:rsidRPr="00D538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53832" w:rsidRPr="00D53832" w:rsidRDefault="00D53832" w:rsidP="00371C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53832" w:rsidRPr="00371C39" w:rsidTr="00B76818">
        <w:tc>
          <w:tcPr>
            <w:tcW w:w="2888" w:type="pct"/>
          </w:tcPr>
          <w:p w:rsidR="00D53832" w:rsidRDefault="00D53832" w:rsidP="00D53832">
            <w:pPr>
              <w:spacing w:after="12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В</w:t>
            </w:r>
            <w:r w:rsidRPr="00D5383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</w:p>
        </w:tc>
        <w:tc>
          <w:tcPr>
            <w:tcW w:w="2112" w:type="pct"/>
          </w:tcPr>
          <w:p w:rsidR="00D53832" w:rsidRPr="00D53832" w:rsidRDefault="00D53832" w:rsidP="00371C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832">
              <w:rPr>
                <w:rFonts w:ascii="Times New Roman" w:hAnsi="Times New Roman" w:cs="Times New Roman"/>
                <w:sz w:val="24"/>
                <w:szCs w:val="24"/>
              </w:rPr>
              <w:t>Также Вы можете прописать более подробно, чего Вы хотите от видеоряда, мы постараемся осуществить задуманное</w:t>
            </w:r>
          </w:p>
          <w:p w:rsidR="00D53832" w:rsidRPr="00D53832" w:rsidRDefault="00D53832" w:rsidP="00371C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832">
              <w:rPr>
                <w:rFonts w:ascii="Times New Roman" w:hAnsi="Times New Roman" w:cs="Times New Roman"/>
                <w:sz w:val="24"/>
                <w:szCs w:val="24"/>
              </w:rPr>
              <w:t>См. пример ниже</w:t>
            </w:r>
          </w:p>
        </w:tc>
      </w:tr>
      <w:tr w:rsidR="00D53832" w:rsidRPr="00371C39" w:rsidTr="00B76818">
        <w:tc>
          <w:tcPr>
            <w:tcW w:w="2888" w:type="pct"/>
          </w:tcPr>
          <w:p w:rsidR="00D53832" w:rsidRDefault="00D53832" w:rsidP="00D53832">
            <w:pPr>
              <w:spacing w:after="12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3832" w:rsidRDefault="00D53832" w:rsidP="00D53832">
            <w:pPr>
              <w:spacing w:after="12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3832" w:rsidRDefault="00D53832" w:rsidP="00D53832">
            <w:pPr>
              <w:spacing w:after="12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3832" w:rsidRDefault="00D53832" w:rsidP="00D53832">
            <w:pPr>
              <w:spacing w:after="12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2" w:type="pct"/>
          </w:tcPr>
          <w:p w:rsidR="00D53832" w:rsidRDefault="00D53832" w:rsidP="00371C3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832" w:rsidRPr="00371C39" w:rsidTr="00B76818">
        <w:tc>
          <w:tcPr>
            <w:tcW w:w="2888" w:type="pct"/>
          </w:tcPr>
          <w:p w:rsidR="00D53832" w:rsidRDefault="00D53832" w:rsidP="00D53832">
            <w:pPr>
              <w:spacing w:after="12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83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lastRenderedPageBreak/>
              <w:t>Пример</w:t>
            </w:r>
          </w:p>
        </w:tc>
        <w:tc>
          <w:tcPr>
            <w:tcW w:w="2112" w:type="pct"/>
          </w:tcPr>
          <w:p w:rsidR="00D53832" w:rsidRDefault="00D53832" w:rsidP="00371C3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342D" w:rsidRPr="00371C39" w:rsidTr="00B76818">
        <w:tc>
          <w:tcPr>
            <w:tcW w:w="2888" w:type="pct"/>
          </w:tcPr>
          <w:p w:rsidR="00CA342D" w:rsidRDefault="00CA342D" w:rsidP="00D53832">
            <w:pPr>
              <w:spacing w:after="120"/>
              <w:jc w:val="center"/>
              <w:rPr>
                <w:sz w:val="24"/>
                <w:szCs w:val="24"/>
              </w:rPr>
            </w:pPr>
            <w:r w:rsidRPr="00371C3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highlight w:val="cyan"/>
                <w:lang w:eastAsia="ru-RU"/>
              </w:rPr>
              <w:t>Тактики профессионального поведения на карьерных рынках</w:t>
            </w:r>
          </w:p>
          <w:p w:rsidR="00CA342D" w:rsidRPr="00371C39" w:rsidRDefault="00CA342D" w:rsidP="00371C3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2" w:type="pct"/>
          </w:tcPr>
          <w:p w:rsidR="00CA342D" w:rsidRDefault="00CA342D" w:rsidP="00371C3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C39" w:rsidRPr="00371C39" w:rsidTr="00B76818">
        <w:tc>
          <w:tcPr>
            <w:tcW w:w="2888" w:type="pct"/>
          </w:tcPr>
          <w:p w:rsidR="00371C39" w:rsidRPr="00CA342D" w:rsidRDefault="00CA342D" w:rsidP="00D32631">
            <w:pPr>
              <w:spacing w:after="120"/>
              <w:rPr>
                <w:sz w:val="24"/>
                <w:szCs w:val="24"/>
              </w:rPr>
            </w:pPr>
            <w:r w:rsidRPr="000B7DB0">
              <w:rPr>
                <w:sz w:val="24"/>
                <w:szCs w:val="24"/>
              </w:rPr>
              <w:t>Альберт Эйнштейн говорил: «Не старайтесь стать успешным человеком. Луч</w:t>
            </w:r>
            <w:r w:rsidR="00D32631">
              <w:rPr>
                <w:sz w:val="24"/>
                <w:szCs w:val="24"/>
              </w:rPr>
              <w:t xml:space="preserve">ше станьте ценным человеком». </w:t>
            </w:r>
            <w:r w:rsidRPr="000B7DB0">
              <w:rPr>
                <w:sz w:val="24"/>
                <w:szCs w:val="24"/>
              </w:rPr>
              <w:t xml:space="preserve"> Стать ценным сотрудником значит оказаться тем, кто предоставляет работодателю высокоразвитые компетенции, которые нужны ему для решения вопросов организации. </w:t>
            </w:r>
            <w:proofErr w:type="gramStart"/>
            <w:r w:rsidRPr="000B7DB0">
              <w:rPr>
                <w:sz w:val="24"/>
                <w:szCs w:val="24"/>
              </w:rPr>
              <w:t>Чем сложнее эти компетенции или их сочетание, чем труднее их воспроизвести, чем нужнее они организации и чем меньше людей на рынке труда могут их предложить, тем большую ценность имеет сотрудник.</w:t>
            </w:r>
            <w:proofErr w:type="gramEnd"/>
          </w:p>
        </w:tc>
        <w:tc>
          <w:tcPr>
            <w:tcW w:w="2112" w:type="pct"/>
          </w:tcPr>
          <w:p w:rsidR="00371C39" w:rsidRPr="00371C39" w:rsidRDefault="00371C39" w:rsidP="00371C3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C39" w:rsidRPr="00371C39" w:rsidTr="00B76818">
        <w:tc>
          <w:tcPr>
            <w:tcW w:w="2888" w:type="pct"/>
          </w:tcPr>
          <w:p w:rsidR="00CA342D" w:rsidRPr="000B7DB0" w:rsidRDefault="00CA342D" w:rsidP="00CA342D">
            <w:pPr>
              <w:spacing w:after="120"/>
              <w:rPr>
                <w:sz w:val="24"/>
                <w:szCs w:val="24"/>
              </w:rPr>
            </w:pPr>
            <w:r w:rsidRPr="000B7DB0">
              <w:rPr>
                <w:sz w:val="24"/>
                <w:szCs w:val="24"/>
              </w:rPr>
              <w:t>Для того</w:t>
            </w:r>
            <w:proofErr w:type="gramStart"/>
            <w:r w:rsidRPr="000B7DB0">
              <w:rPr>
                <w:sz w:val="24"/>
                <w:szCs w:val="24"/>
              </w:rPr>
              <w:t>,</w:t>
            </w:r>
            <w:proofErr w:type="gramEnd"/>
            <w:r w:rsidRPr="000B7DB0">
              <w:rPr>
                <w:sz w:val="24"/>
                <w:szCs w:val="24"/>
              </w:rPr>
              <w:t xml:space="preserve"> чтобы понимать свою ценность как сотрудника, полезно рассмотреть адаптированную модель </w:t>
            </w:r>
            <w:proofErr w:type="spellStart"/>
            <w:r w:rsidRPr="000B7DB0">
              <w:rPr>
                <w:sz w:val="24"/>
                <w:szCs w:val="24"/>
              </w:rPr>
              <w:t>Нориаки</w:t>
            </w:r>
            <w:proofErr w:type="spellEnd"/>
            <w:r w:rsidRPr="000B7DB0">
              <w:rPr>
                <w:sz w:val="24"/>
                <w:szCs w:val="24"/>
              </w:rPr>
              <w:t xml:space="preserve"> </w:t>
            </w:r>
            <w:proofErr w:type="spellStart"/>
            <w:r w:rsidRPr="000B7DB0">
              <w:rPr>
                <w:sz w:val="24"/>
                <w:szCs w:val="24"/>
              </w:rPr>
              <w:t>Кано</w:t>
            </w:r>
            <w:proofErr w:type="spellEnd"/>
            <w:r w:rsidRPr="000B7DB0">
              <w:rPr>
                <w:sz w:val="24"/>
                <w:szCs w:val="24"/>
              </w:rPr>
              <w:t xml:space="preserve">. </w:t>
            </w:r>
            <w:r w:rsidR="00EE3C05" w:rsidRPr="00EE3C05">
              <w:rPr>
                <w:sz w:val="24"/>
                <w:szCs w:val="24"/>
                <w:highlight w:val="yellow"/>
              </w:rPr>
              <w:t>А</w:t>
            </w:r>
            <w:proofErr w:type="gramStart"/>
            <w:r w:rsidR="00EE3C05" w:rsidRPr="00EE3C05">
              <w:rPr>
                <w:sz w:val="24"/>
                <w:szCs w:val="24"/>
                <w:highlight w:val="yellow"/>
              </w:rPr>
              <w:t>1</w:t>
            </w:r>
            <w:proofErr w:type="gramEnd"/>
            <w:r w:rsidR="00EE3C05">
              <w:rPr>
                <w:sz w:val="24"/>
                <w:szCs w:val="24"/>
              </w:rPr>
              <w:t xml:space="preserve"> </w:t>
            </w:r>
            <w:r w:rsidRPr="000B7DB0">
              <w:rPr>
                <w:sz w:val="24"/>
                <w:szCs w:val="24"/>
              </w:rPr>
              <w:t>Модель была изобретена в 1980-е годы и стала активно использоваться для оценки удовлетворенности клиентов, совершенствования продуктов и сервиса компаний. Однако мы можем применить её и в контексте нашей темы.</w:t>
            </w:r>
          </w:p>
          <w:p w:rsidR="00371C39" w:rsidRPr="00CA342D" w:rsidRDefault="00CA342D" w:rsidP="00591959">
            <w:pPr>
              <w:spacing w:after="120"/>
              <w:rPr>
                <w:sz w:val="24"/>
                <w:szCs w:val="24"/>
              </w:rPr>
            </w:pPr>
            <w:r w:rsidRPr="000B7DB0">
              <w:rPr>
                <w:sz w:val="24"/>
                <w:szCs w:val="24"/>
              </w:rPr>
              <w:t>Итак, представим, что существует</w:t>
            </w:r>
            <w:r w:rsidR="00EE3C05">
              <w:rPr>
                <w:sz w:val="24"/>
                <w:szCs w:val="24"/>
              </w:rPr>
              <w:t xml:space="preserve"> </w:t>
            </w:r>
            <w:r w:rsidR="00EE3C05" w:rsidRPr="00EE3C05">
              <w:rPr>
                <w:sz w:val="24"/>
                <w:szCs w:val="24"/>
                <w:highlight w:val="yellow"/>
              </w:rPr>
              <w:t>А</w:t>
            </w:r>
            <w:proofErr w:type="gramStart"/>
            <w:r w:rsidR="00EE3C05" w:rsidRPr="00EE3C05">
              <w:rPr>
                <w:sz w:val="24"/>
                <w:szCs w:val="24"/>
                <w:highlight w:val="yellow"/>
              </w:rPr>
              <w:t>2</w:t>
            </w:r>
            <w:proofErr w:type="gramEnd"/>
            <w:r w:rsidRPr="000B7DB0">
              <w:rPr>
                <w:sz w:val="24"/>
                <w:szCs w:val="24"/>
              </w:rPr>
              <w:t xml:space="preserve"> сотрудник и руководство организации. Руководство воспринимает этого сотрудника как поставщика компетенций, способного решат</w:t>
            </w:r>
            <w:r w:rsidR="00591959">
              <w:rPr>
                <w:sz w:val="24"/>
                <w:szCs w:val="24"/>
              </w:rPr>
              <w:t>ь определенные трудовые задачи</w:t>
            </w:r>
            <w:r w:rsidRPr="000B7DB0">
              <w:rPr>
                <w:sz w:val="24"/>
                <w:szCs w:val="24"/>
              </w:rPr>
              <w:t>. Если руководство не воспринимает некоторые компетенции сотрудника, то, вероятно, он не будет их проявлять.</w:t>
            </w:r>
            <w:r w:rsidR="00EE3C05">
              <w:rPr>
                <w:sz w:val="24"/>
                <w:szCs w:val="24"/>
              </w:rPr>
              <w:t xml:space="preserve"> </w:t>
            </w:r>
            <w:r w:rsidR="00EE3C05" w:rsidRPr="00EE3C05">
              <w:rPr>
                <w:sz w:val="24"/>
                <w:szCs w:val="24"/>
                <w:highlight w:val="yellow"/>
              </w:rPr>
              <w:t>А3</w:t>
            </w:r>
            <w:proofErr w:type="gramStart"/>
            <w:r w:rsidRPr="000B7DB0">
              <w:rPr>
                <w:sz w:val="24"/>
                <w:szCs w:val="24"/>
              </w:rPr>
              <w:t xml:space="preserve"> В</w:t>
            </w:r>
            <w:proofErr w:type="gramEnd"/>
            <w:r w:rsidRPr="000B7DB0">
              <w:rPr>
                <w:sz w:val="24"/>
                <w:szCs w:val="24"/>
              </w:rPr>
              <w:t xml:space="preserve">едь до него не будут доводить те задачи, решение которых он может обеспечить. </w:t>
            </w:r>
            <w:r w:rsidR="00591959" w:rsidRPr="00EE3C05">
              <w:rPr>
                <w:sz w:val="24"/>
                <w:szCs w:val="24"/>
                <w:highlight w:val="yellow"/>
              </w:rPr>
              <w:t>А4</w:t>
            </w:r>
            <w:proofErr w:type="gramStart"/>
            <w:r w:rsidR="00591959">
              <w:rPr>
                <w:sz w:val="24"/>
                <w:szCs w:val="24"/>
              </w:rPr>
              <w:t xml:space="preserve"> </w:t>
            </w:r>
            <w:r w:rsidRPr="000B7DB0">
              <w:rPr>
                <w:sz w:val="24"/>
                <w:szCs w:val="24"/>
              </w:rPr>
              <w:t>О</w:t>
            </w:r>
            <w:proofErr w:type="gramEnd"/>
            <w:r w:rsidRPr="000B7DB0">
              <w:rPr>
                <w:sz w:val="24"/>
                <w:szCs w:val="24"/>
              </w:rPr>
              <w:t>днако сотрудник может проявить инициативу и задействовать «скрытые» компетенции по собственному выбору.</w:t>
            </w:r>
          </w:p>
        </w:tc>
        <w:tc>
          <w:tcPr>
            <w:tcW w:w="2112" w:type="pct"/>
          </w:tcPr>
          <w:p w:rsidR="001B1831" w:rsidRDefault="00EE3C05" w:rsidP="001B183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hyperlink r:id="rId7" w:history="1">
              <w:r w:rsidRPr="00EE3C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изображение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автора модели (появилось, исчезло) </w:t>
            </w:r>
          </w:p>
          <w:p w:rsidR="00EE3C05" w:rsidRDefault="00EE3C05" w:rsidP="001B183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C05" w:rsidRDefault="00EE3C05" w:rsidP="001B183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C05" w:rsidRDefault="00EE3C05" w:rsidP="001B183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 катит тележку с коробками (на которых написано «Компетенции»), а с другой стороны его ждет руководитель (человек в костюме). Рядом с этим руководителем есть что-то вроде транспортирующей ленты и рамки (знаешь, как в аэропортах бывают). </w:t>
            </w:r>
          </w:p>
          <w:p w:rsidR="00EE3C05" w:rsidRDefault="00EE3C05" w:rsidP="001B183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А3 Сотрудник начинает складывать коробки на ленту, часть из них проходит, а часть – сваливается на пол.</w:t>
            </w:r>
          </w:p>
          <w:p w:rsidR="00EE3C05" w:rsidRPr="001B1831" w:rsidRDefault="00EE3C05" w:rsidP="001B183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 поднимает упавшую коробку, подходит и дает ее в руки руководителю</w:t>
            </w:r>
          </w:p>
        </w:tc>
      </w:tr>
      <w:tr w:rsidR="00D53832" w:rsidRPr="00371C39" w:rsidTr="00B76818">
        <w:tc>
          <w:tcPr>
            <w:tcW w:w="2888" w:type="pct"/>
          </w:tcPr>
          <w:p w:rsidR="00D53832" w:rsidRPr="000B7DB0" w:rsidRDefault="00D53832" w:rsidP="00CA342D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112" w:type="pct"/>
          </w:tcPr>
          <w:p w:rsidR="00D53832" w:rsidRDefault="00D53832" w:rsidP="001B183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9B6FAE" w:rsidRPr="00371C39" w:rsidRDefault="009B6FAE" w:rsidP="00371C39">
      <w:pPr>
        <w:spacing w:after="120"/>
        <w:rPr>
          <w:sz w:val="24"/>
          <w:szCs w:val="24"/>
        </w:rPr>
      </w:pPr>
    </w:p>
    <w:sectPr w:rsidR="009B6FAE" w:rsidRPr="00371C39" w:rsidSect="00371C39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17BE1"/>
    <w:multiLevelType w:val="hybridMultilevel"/>
    <w:tmpl w:val="86ACD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B251E"/>
    <w:multiLevelType w:val="hybridMultilevel"/>
    <w:tmpl w:val="48369F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A5996"/>
    <w:multiLevelType w:val="hybridMultilevel"/>
    <w:tmpl w:val="48B01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DE0"/>
    <w:rsid w:val="00006670"/>
    <w:rsid w:val="000D4FD7"/>
    <w:rsid w:val="000E46C3"/>
    <w:rsid w:val="00105C57"/>
    <w:rsid w:val="00106D3F"/>
    <w:rsid w:val="001362C4"/>
    <w:rsid w:val="00174D64"/>
    <w:rsid w:val="001B1831"/>
    <w:rsid w:val="001B4563"/>
    <w:rsid w:val="002160FD"/>
    <w:rsid w:val="00296803"/>
    <w:rsid w:val="00297F1A"/>
    <w:rsid w:val="002D0432"/>
    <w:rsid w:val="002D2786"/>
    <w:rsid w:val="002D4A1C"/>
    <w:rsid w:val="00342D5C"/>
    <w:rsid w:val="00351E35"/>
    <w:rsid w:val="00364D62"/>
    <w:rsid w:val="00371C39"/>
    <w:rsid w:val="003B7417"/>
    <w:rsid w:val="00450BA4"/>
    <w:rsid w:val="00452DE0"/>
    <w:rsid w:val="004B294C"/>
    <w:rsid w:val="004C52D1"/>
    <w:rsid w:val="00552021"/>
    <w:rsid w:val="00591959"/>
    <w:rsid w:val="005C1477"/>
    <w:rsid w:val="005C26F4"/>
    <w:rsid w:val="005C5C13"/>
    <w:rsid w:val="00633FAF"/>
    <w:rsid w:val="00644396"/>
    <w:rsid w:val="006B72A9"/>
    <w:rsid w:val="006F041B"/>
    <w:rsid w:val="007132B2"/>
    <w:rsid w:val="00772E36"/>
    <w:rsid w:val="007966E3"/>
    <w:rsid w:val="007F5F3E"/>
    <w:rsid w:val="008029CF"/>
    <w:rsid w:val="008429E9"/>
    <w:rsid w:val="00924CCD"/>
    <w:rsid w:val="0099419C"/>
    <w:rsid w:val="009B6FAE"/>
    <w:rsid w:val="009D5945"/>
    <w:rsid w:val="00A256ED"/>
    <w:rsid w:val="00A2574C"/>
    <w:rsid w:val="00A46A6D"/>
    <w:rsid w:val="00A92F44"/>
    <w:rsid w:val="00AE5386"/>
    <w:rsid w:val="00B26724"/>
    <w:rsid w:val="00B61328"/>
    <w:rsid w:val="00BA4796"/>
    <w:rsid w:val="00BD09CB"/>
    <w:rsid w:val="00BE11AD"/>
    <w:rsid w:val="00C15D83"/>
    <w:rsid w:val="00C479F4"/>
    <w:rsid w:val="00C80189"/>
    <w:rsid w:val="00CA342D"/>
    <w:rsid w:val="00CE6F62"/>
    <w:rsid w:val="00CE7780"/>
    <w:rsid w:val="00CF0EB9"/>
    <w:rsid w:val="00D32631"/>
    <w:rsid w:val="00D53832"/>
    <w:rsid w:val="00D75A13"/>
    <w:rsid w:val="00D84E56"/>
    <w:rsid w:val="00D8760D"/>
    <w:rsid w:val="00DD6547"/>
    <w:rsid w:val="00E51D6B"/>
    <w:rsid w:val="00E80D83"/>
    <w:rsid w:val="00EE3C05"/>
    <w:rsid w:val="00EF11A3"/>
    <w:rsid w:val="00F26069"/>
    <w:rsid w:val="00F757CE"/>
    <w:rsid w:val="00FD7F99"/>
    <w:rsid w:val="00FE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1AD"/>
    <w:pPr>
      <w:ind w:left="720"/>
      <w:contextualSpacing/>
    </w:pPr>
  </w:style>
  <w:style w:type="table" w:styleId="a4">
    <w:name w:val="Table Grid"/>
    <w:basedOn w:val="a1"/>
    <w:uiPriority w:val="39"/>
    <w:rsid w:val="00371C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E3C1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1AD"/>
    <w:pPr>
      <w:ind w:left="720"/>
      <w:contextualSpacing/>
    </w:pPr>
  </w:style>
  <w:style w:type="table" w:styleId="a4">
    <w:name w:val="Table Grid"/>
    <w:basedOn w:val="a1"/>
    <w:uiPriority w:val="39"/>
    <w:rsid w:val="00371C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E3C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vatars.mds.yandex.net/get-zen_doc/1931033/pub_5eca265791e212659e30052c_5eca266666373444fde4e3d7/scale_12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0E39E-D9CE-480A-9738-AB82E3B23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2676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Томилин</dc:creator>
  <cp:keywords/>
  <dc:description/>
  <cp:lastModifiedBy>user</cp:lastModifiedBy>
  <cp:revision>23</cp:revision>
  <dcterms:created xsi:type="dcterms:W3CDTF">2020-08-16T02:25:00Z</dcterms:created>
  <dcterms:modified xsi:type="dcterms:W3CDTF">2022-04-08T06:07:00Z</dcterms:modified>
</cp:coreProperties>
</file>